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14" w:rsidRPr="00307DA2" w:rsidRDefault="00436814" w:rsidP="0043681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Palatino Linotype" w:hAnsi="Palatino Linotype" w:cstheme="minorHAnsi"/>
          <w:sz w:val="24"/>
          <w:szCs w:val="24"/>
        </w:rPr>
      </w:pPr>
      <w:bookmarkStart w:id="0" w:name="_GoBack"/>
      <w:bookmarkEnd w:id="0"/>
      <w:r w:rsidRPr="00307DA2">
        <w:rPr>
          <w:rFonts w:ascii="Palatino Linotype" w:hAnsi="Palatino Linotype"/>
          <w:noProof/>
          <w:lang w:val="en-GB" w:eastAsia="en-GB"/>
        </w:rPr>
        <w:drawing>
          <wp:inline distT="0" distB="0" distL="0" distR="0" wp14:anchorId="30F0780F" wp14:editId="143AA71A">
            <wp:extent cx="2043834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31" cy="70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814" w:rsidRPr="00307DA2" w:rsidRDefault="00436814" w:rsidP="00436814">
      <w:pPr>
        <w:spacing w:before="240" w:after="200" w:line="360" w:lineRule="auto"/>
        <w:ind w:left="2160" w:firstLine="720"/>
        <w:rPr>
          <w:rFonts w:ascii="Palatino Linotype" w:eastAsia="Arial Narrow" w:hAnsi="Palatino Linotype" w:cs="Arial Narrow"/>
          <w:b/>
          <w:sz w:val="24"/>
          <w:szCs w:val="24"/>
          <w:u w:val="single"/>
        </w:rPr>
      </w:pPr>
      <w:r w:rsidRPr="00307DA2">
        <w:rPr>
          <w:rFonts w:ascii="Palatino Linotype" w:eastAsia="Arial Narrow" w:hAnsi="Palatino Linotype" w:cs="Arial Narrow"/>
          <w:b/>
          <w:sz w:val="24"/>
          <w:szCs w:val="24"/>
          <w:u w:val="single"/>
        </w:rPr>
        <w:t>PUBLIC COMMENTS FORM</w:t>
      </w:r>
    </w:p>
    <w:p w:rsidR="00DC0609" w:rsidRPr="00307DA2" w:rsidRDefault="00DC0609" w:rsidP="00AD1953">
      <w:pPr>
        <w:spacing w:after="0" w:line="240" w:lineRule="auto"/>
        <w:jc w:val="center"/>
        <w:rPr>
          <w:rFonts w:ascii="Palatino Linotype" w:hAnsi="Palatino Linotype" w:cs="Arial Narrow"/>
          <w:b/>
          <w:sz w:val="24"/>
          <w:szCs w:val="24"/>
        </w:rPr>
      </w:pPr>
      <w:r w:rsidRPr="00307DA2">
        <w:rPr>
          <w:rFonts w:ascii="Palatino Linotype" w:hAnsi="Palatino Linotype" w:cs="Arial Narrow"/>
          <w:b/>
          <w:sz w:val="24"/>
          <w:szCs w:val="24"/>
        </w:rPr>
        <w:t xml:space="preserve">DRAFT </w:t>
      </w:r>
      <w:r w:rsidR="00AD1953" w:rsidRPr="00307DA2">
        <w:rPr>
          <w:rFonts w:ascii="Palatino Linotype" w:hAnsi="Palatino Linotype" w:cs="Arial Narrow"/>
          <w:b/>
          <w:sz w:val="24"/>
          <w:szCs w:val="24"/>
        </w:rPr>
        <w:t>ENERGY (</w:t>
      </w:r>
      <w:r w:rsidR="001B77FE">
        <w:rPr>
          <w:rFonts w:ascii="Palatino Linotype" w:hAnsi="Palatino Linotype" w:cs="Arial Narrow"/>
          <w:b/>
          <w:sz w:val="24"/>
          <w:szCs w:val="24"/>
        </w:rPr>
        <w:t>BIOFUELS</w:t>
      </w:r>
      <w:r w:rsidR="00AD1953" w:rsidRPr="00307DA2">
        <w:rPr>
          <w:rFonts w:ascii="Palatino Linotype" w:hAnsi="Palatino Linotype" w:cs="Arial Narrow"/>
          <w:b/>
          <w:sz w:val="24"/>
          <w:szCs w:val="24"/>
        </w:rPr>
        <w:t>)</w:t>
      </w:r>
      <w:r w:rsidRPr="00307DA2">
        <w:rPr>
          <w:rFonts w:ascii="Palatino Linotype" w:hAnsi="Palatino Linotype" w:cs="Arial Narrow"/>
          <w:b/>
          <w:sz w:val="24"/>
          <w:szCs w:val="24"/>
        </w:rPr>
        <w:t xml:space="preserve"> REGULATIONS, 202</w:t>
      </w:r>
      <w:r w:rsidR="0077128F">
        <w:rPr>
          <w:rFonts w:ascii="Palatino Linotype" w:hAnsi="Palatino Linotype" w:cs="Arial Narrow"/>
          <w:b/>
          <w:sz w:val="24"/>
          <w:szCs w:val="24"/>
        </w:rPr>
        <w:t>5</w:t>
      </w:r>
      <w:r w:rsidRPr="00307DA2">
        <w:rPr>
          <w:rFonts w:ascii="Palatino Linotype" w:hAnsi="Palatino Linotype" w:cs="Arial Narrow"/>
          <w:b/>
          <w:sz w:val="24"/>
          <w:szCs w:val="24"/>
        </w:rPr>
        <w:t xml:space="preserve"> AND DRAFT REGULATORY IMPACT </w:t>
      </w:r>
      <w:r w:rsidR="0077128F">
        <w:rPr>
          <w:rFonts w:ascii="Palatino Linotype" w:hAnsi="Palatino Linotype" w:cs="Arial Narrow"/>
          <w:b/>
          <w:sz w:val="24"/>
          <w:szCs w:val="24"/>
        </w:rPr>
        <w:t>STATEMENT</w:t>
      </w:r>
    </w:p>
    <w:p w:rsidR="00DC0609" w:rsidRPr="00307DA2" w:rsidRDefault="00DC0609" w:rsidP="00DC0609">
      <w:pPr>
        <w:spacing w:after="0" w:line="240" w:lineRule="auto"/>
        <w:rPr>
          <w:rFonts w:ascii="Palatino Linotype" w:eastAsia="Arial Narrow" w:hAnsi="Palatino Linotype" w:cs="Arial Narrow"/>
          <w:b/>
          <w:sz w:val="24"/>
          <w:szCs w:val="24"/>
          <w:u w:val="single"/>
        </w:rPr>
      </w:pPr>
    </w:p>
    <w:p w:rsidR="00620174" w:rsidRPr="0077128F" w:rsidRDefault="007D0F29" w:rsidP="007712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sz w:val="24"/>
          <w:szCs w:val="24"/>
        </w:rPr>
        <w:t xml:space="preserve">To </w:t>
      </w:r>
      <w:r w:rsidR="0077128F" w:rsidRPr="0077128F">
        <w:rPr>
          <w:rFonts w:ascii="Palatino Linotype" w:hAnsi="Palatino Linotype" w:cstheme="minorHAnsi"/>
          <w:sz w:val="24"/>
          <w:szCs w:val="24"/>
        </w:rPr>
        <w:t xml:space="preserve">promote the </w:t>
      </w:r>
      <w:r w:rsidR="001B77FE">
        <w:rPr>
          <w:rFonts w:ascii="Palatino Linotype" w:hAnsi="Palatino Linotype" w:cstheme="minorHAnsi"/>
          <w:sz w:val="24"/>
          <w:szCs w:val="24"/>
        </w:rPr>
        <w:t>adoption and use of biofuels</w:t>
      </w:r>
      <w:r w:rsidR="00620174" w:rsidRPr="0077128F">
        <w:rPr>
          <w:rFonts w:ascii="Palatino Linotype" w:hAnsi="Palatino Linotype" w:cstheme="minorHAnsi"/>
          <w:sz w:val="24"/>
          <w:szCs w:val="24"/>
        </w:rPr>
        <w:t xml:space="preserve"> in</w:t>
      </w:r>
      <w:r w:rsidR="00E45A0F" w:rsidRPr="0077128F">
        <w:rPr>
          <w:rFonts w:ascii="Palatino Linotype" w:hAnsi="Palatino Linotype" w:cstheme="minorHAnsi"/>
          <w:sz w:val="24"/>
          <w:szCs w:val="24"/>
        </w:rPr>
        <w:t xml:space="preserve"> Kenya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, the Authority, </w:t>
      </w:r>
      <w:r w:rsidRPr="0077128F">
        <w:rPr>
          <w:rFonts w:ascii="Palatino Linotype" w:hAnsi="Palatino Linotype"/>
          <w:sz w:val="24"/>
          <w:szCs w:val="24"/>
        </w:rPr>
        <w:t>together with industry stakeholders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, has developed the 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Draft 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Energy 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>(</w:t>
      </w:r>
      <w:r w:rsidR="001B77FE">
        <w:rPr>
          <w:rFonts w:ascii="Palatino Linotype" w:hAnsi="Palatino Linotype" w:cstheme="minorHAnsi"/>
          <w:b/>
          <w:sz w:val="24"/>
          <w:szCs w:val="24"/>
          <w:u w:val="single"/>
        </w:rPr>
        <w:t>Biofuels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>) Regulations, 202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>5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</w:t>
      </w:r>
      <w:r w:rsidR="0077128F" w:rsidRPr="0077128F">
        <w:rPr>
          <w:rFonts w:ascii="Palatino Linotype" w:hAnsi="Palatino Linotype" w:cstheme="minorHAnsi"/>
          <w:sz w:val="24"/>
          <w:szCs w:val="24"/>
        </w:rPr>
        <w:t>and its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 associated</w:t>
      </w:r>
      <w:r w:rsidRPr="0077128F">
        <w:rPr>
          <w:rFonts w:ascii="Palatino Linotype" w:hAnsi="Palatino Linotype" w:cstheme="minorHAnsi"/>
          <w:sz w:val="24"/>
          <w:szCs w:val="24"/>
          <w:u w:val="single"/>
        </w:rPr>
        <w:t xml:space="preserve"> 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Regulatory Impact 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>Statement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>.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 </w:t>
      </w:r>
      <w:r w:rsidR="0077128F" w:rsidRPr="0077128F">
        <w:rPr>
          <w:rFonts w:ascii="Palatino Linotype" w:hAnsi="Palatino Linotype"/>
          <w:bCs/>
          <w:color w:val="000000"/>
          <w:sz w:val="24"/>
          <w:szCs w:val="24"/>
        </w:rPr>
        <w:t xml:space="preserve">The proposed regulations </w:t>
      </w:r>
      <w:r w:rsidR="001B77FE">
        <w:rPr>
          <w:rFonts w:ascii="Palatino Linotype" w:hAnsi="Palatino Linotype"/>
          <w:bCs/>
          <w:color w:val="000000"/>
          <w:sz w:val="24"/>
          <w:szCs w:val="24"/>
        </w:rPr>
        <w:t>provide a framework for enforcing standards in the production, transportation, storage, packaging, blending and sale of biodiesel, biogas and bioethanol.</w:t>
      </w: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Stakeholders are requested to review the aforementioned documents and provide feedback that will be considered for incorporation in the regulations </w:t>
      </w:r>
      <w:r w:rsidR="0077128F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to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be gazetted. Feedback should be provided in the following format:</w:t>
      </w:r>
    </w:p>
    <w:p w:rsidR="007D2AF2" w:rsidRPr="0077128F" w:rsidRDefault="007D2AF2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tbl>
      <w:tblPr>
        <w:tblStyle w:val="TableGrid"/>
        <w:tblW w:w="9637" w:type="dxa"/>
        <w:tblInd w:w="-5" w:type="dxa"/>
        <w:tblLook w:val="04A0" w:firstRow="1" w:lastRow="0" w:firstColumn="1" w:lastColumn="0" w:noHBand="0" w:noVBand="1"/>
      </w:tblPr>
      <w:tblGrid>
        <w:gridCol w:w="790"/>
        <w:gridCol w:w="1658"/>
        <w:gridCol w:w="1367"/>
        <w:gridCol w:w="1822"/>
        <w:gridCol w:w="2193"/>
        <w:gridCol w:w="1807"/>
      </w:tblGrid>
      <w:tr w:rsidR="00FB34E3" w:rsidRPr="0077128F" w:rsidTr="00FB34E3">
        <w:trPr>
          <w:trHeight w:val="833"/>
          <w:tblHeader/>
        </w:trPr>
        <w:tc>
          <w:tcPr>
            <w:tcW w:w="790" w:type="dxa"/>
            <w:shd w:val="clear" w:color="auto" w:fill="D9D9D9" w:themeFill="background1" w:themeFillShade="D9"/>
            <w:vAlign w:val="bottom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Item No.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bottom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Regulation/ Report Page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Type of Comment</w:t>
            </w:r>
            <w:r w:rsidRPr="0077128F">
              <w:rPr>
                <w:rStyle w:val="FootnoteReference"/>
                <w:rFonts w:ascii="Palatino Linotype" w:hAnsi="Palatino Linotype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22" w:type="dxa"/>
            <w:shd w:val="clear" w:color="auto" w:fill="D9D9D9" w:themeFill="background1" w:themeFillShade="D9"/>
            <w:vAlign w:val="bottom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Issue/ Comment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 xml:space="preserve">Proposed </w:t>
            </w:r>
          </w:p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Change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bottom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Justification for change</w:t>
            </w:r>
          </w:p>
        </w:tc>
      </w:tr>
      <w:tr w:rsidR="00FB34E3" w:rsidRPr="0077128F" w:rsidTr="00FB34E3">
        <w:trPr>
          <w:trHeight w:val="276"/>
        </w:trPr>
        <w:tc>
          <w:tcPr>
            <w:tcW w:w="790" w:type="dxa"/>
          </w:tcPr>
          <w:p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:rsidR="00D11967" w:rsidRPr="0077128F" w:rsidRDefault="00D11967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:rsidTr="00FB34E3">
        <w:trPr>
          <w:trHeight w:val="276"/>
        </w:trPr>
        <w:tc>
          <w:tcPr>
            <w:tcW w:w="790" w:type="dxa"/>
          </w:tcPr>
          <w:p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:rsidTr="00FB34E3">
        <w:trPr>
          <w:trHeight w:val="276"/>
        </w:trPr>
        <w:tc>
          <w:tcPr>
            <w:tcW w:w="790" w:type="dxa"/>
          </w:tcPr>
          <w:p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:rsidTr="00FB34E3">
        <w:trPr>
          <w:trHeight w:val="265"/>
        </w:trPr>
        <w:tc>
          <w:tcPr>
            <w:tcW w:w="790" w:type="dxa"/>
          </w:tcPr>
          <w:p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:rsidTr="00FB34E3">
        <w:trPr>
          <w:trHeight w:val="265"/>
        </w:trPr>
        <w:tc>
          <w:tcPr>
            <w:tcW w:w="790" w:type="dxa"/>
          </w:tcPr>
          <w:p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436814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ab/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ab/>
      </w:r>
    </w:p>
    <w:p w:rsidR="00A652EE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Comments on the draft regulations </w:t>
      </w:r>
      <w:r w:rsidR="00A652EE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or 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written memoranda; clearly marked </w:t>
      </w:r>
      <w:r w:rsidR="0077128F" w:rsidRPr="0077128F">
        <w:rPr>
          <w:rFonts w:ascii="Palatino Linotype" w:hAnsi="Palatino Linotype"/>
          <w:b/>
          <w:sz w:val="24"/>
          <w:szCs w:val="24"/>
        </w:rPr>
        <w:t>“PUBLIC COMMENTS ON THE DRAFT ENERGY (</w:t>
      </w:r>
      <w:r w:rsidR="001B77FE">
        <w:rPr>
          <w:rFonts w:ascii="Palatino Linotype" w:hAnsi="Palatino Linotype"/>
          <w:b/>
          <w:sz w:val="24"/>
          <w:szCs w:val="24"/>
        </w:rPr>
        <w:t>BIOFUELS</w:t>
      </w:r>
      <w:r w:rsidR="0077128F" w:rsidRPr="0077128F">
        <w:rPr>
          <w:rFonts w:ascii="Palatino Linotype" w:hAnsi="Palatino Linotype"/>
          <w:b/>
          <w:sz w:val="24"/>
          <w:szCs w:val="24"/>
        </w:rPr>
        <w:t xml:space="preserve">) REGULATIONS, 2025” 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can be sent via email to </w:t>
      </w:r>
      <w:hyperlink r:id="rId8" w:history="1">
        <w:r w:rsidRPr="0077128F">
          <w:rPr>
            <w:rStyle w:val="Hyperlink"/>
            <w:rFonts w:ascii="Palatino Linotype" w:hAnsi="Palatino Linotype" w:cstheme="minorHAnsi"/>
            <w:sz w:val="24"/>
            <w:szCs w:val="24"/>
          </w:rPr>
          <w:t>renewableenergy@epra.go.ke</w:t>
        </w:r>
      </w:hyperlink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. </w:t>
      </w:r>
      <w:r w:rsidR="00A652EE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Additionally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, comments may be </w:t>
      </w:r>
      <w:r w:rsidR="002A3DED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delivered to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the Authority’s headquarters in Nairobi and/ or satellite Oﬃces between 8:00 a.m</w:t>
      </w:r>
      <w:r w:rsidR="00DC0609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.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and 5:00 p.m</w:t>
      </w:r>
      <w:r w:rsidR="00DC0609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.</w:t>
      </w:r>
      <w:r w:rsidR="002A3DED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during business days.</w:t>
      </w:r>
    </w:p>
    <w:p w:rsidR="00A652EE" w:rsidRPr="0077128F" w:rsidRDefault="00A652EE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:rsidR="00A652EE" w:rsidRPr="0077128F" w:rsidRDefault="00A652EE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509"/>
      </w:tblGrid>
      <w:tr w:rsidR="007D0F29" w:rsidRPr="0077128F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b/>
                <w:bCs/>
                <w:color w:val="000000" w:themeColor="text1"/>
                <w:sz w:val="24"/>
                <w:szCs w:val="24"/>
              </w:rPr>
              <w:t>Regions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b/>
                <w:bCs/>
                <w:color w:val="000000" w:themeColor="text1"/>
                <w:sz w:val="24"/>
                <w:szCs w:val="24"/>
              </w:rPr>
              <w:t>Physical Address</w:t>
            </w:r>
          </w:p>
        </w:tc>
      </w:tr>
      <w:tr w:rsidR="007D0F29" w:rsidRPr="0077128F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lastRenderedPageBreak/>
              <w:t>Nairobi Oﬃce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1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Floor, Eagle Africa Centre, Longonot Road, Upper Hill</w:t>
            </w:r>
          </w:p>
        </w:tc>
      </w:tr>
      <w:tr w:rsidR="007D0F29" w:rsidRPr="0077128F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Coast Region Oﬃce - Mombasa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3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ﬂoor, Kilindini Plaza Building, Moi Avenue</w:t>
            </w:r>
          </w:p>
        </w:tc>
      </w:tr>
      <w:tr w:rsidR="007D0F29" w:rsidRPr="0077128F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Nyanza &amp; Western Region - Kisumu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2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ﬂoor, Lake Basin Mall</w:t>
            </w:r>
          </w:p>
        </w:tc>
      </w:tr>
      <w:tr w:rsidR="007D0F29" w:rsidRPr="0077128F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North Rift Region - Eldoret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7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Floor, Eldoret Daima Towers</w:t>
            </w:r>
          </w:p>
        </w:tc>
      </w:tr>
      <w:tr w:rsidR="007D0F29" w:rsidRPr="0077128F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South Rift Region - Nakuru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3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ﬂoor, Jeniﬀer Riria Hub</w:t>
            </w:r>
          </w:p>
        </w:tc>
      </w:tr>
      <w:tr w:rsidR="007D0F29" w:rsidRPr="0077128F" w:rsidTr="00436814">
        <w:trPr>
          <w:trHeight w:val="231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Central Region - Nyeri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4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Floor, KDS Centre, Kimathi Way</w:t>
            </w:r>
          </w:p>
        </w:tc>
      </w:tr>
      <w:tr w:rsidR="007D0F29" w:rsidRPr="0077128F" w:rsidTr="00436814">
        <w:trPr>
          <w:trHeight w:val="378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0F29" w:rsidRPr="0077128F" w:rsidRDefault="007D0F29" w:rsidP="005C0F3F">
            <w:pPr>
              <w:shd w:val="clear" w:color="auto" w:fill="FFFFFF"/>
              <w:spacing w:after="225" w:line="300" w:lineRule="atLeast"/>
              <w:textAlignment w:val="baseline"/>
              <w:outlineLvl w:val="4"/>
              <w:rPr>
                <w:rFonts w:ascii="Palatino Linotype" w:eastAsia="Times New Roman" w:hAnsi="Palatino Linotype" w:cs="Arial"/>
                <w:bCs/>
                <w:color w:val="2A2C32"/>
                <w:sz w:val="24"/>
                <w:szCs w:val="24"/>
              </w:rPr>
            </w:pPr>
            <w:r w:rsidRPr="0077128F">
              <w:rPr>
                <w:rFonts w:ascii="Palatino Linotype" w:eastAsia="Times New Roman" w:hAnsi="Palatino Linotype" w:cs="Arial"/>
                <w:bCs/>
                <w:color w:val="2A2C32"/>
                <w:sz w:val="24"/>
                <w:szCs w:val="24"/>
              </w:rPr>
              <w:t>North Rift Region – Lodwar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Former WFP Office, </w:t>
            </w: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shd w:val="clear" w:color="auto" w:fill="FFFFFF"/>
              </w:rPr>
              <w:t>Along Lodwar Airport Road</w:t>
            </w:r>
          </w:p>
        </w:tc>
      </w:tr>
      <w:tr w:rsidR="007D0F29" w:rsidRPr="0077128F" w:rsidTr="00436814">
        <w:trPr>
          <w:trHeight w:val="231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0F29" w:rsidRPr="0077128F" w:rsidRDefault="007D0F29" w:rsidP="005C0F3F">
            <w:pPr>
              <w:pStyle w:val="Heading5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Palatino Linotype" w:hAnsi="Palatino Linotype" w:cs="Arial"/>
                <w:b w:val="0"/>
                <w:color w:val="2A2C32"/>
                <w:sz w:val="24"/>
                <w:szCs w:val="24"/>
              </w:rPr>
            </w:pPr>
            <w:r w:rsidRPr="0077128F">
              <w:rPr>
                <w:rFonts w:ascii="Palatino Linotype" w:hAnsi="Palatino Linotype" w:cs="Arial"/>
                <w:b w:val="0"/>
                <w:color w:val="2A2C32"/>
                <w:sz w:val="24"/>
                <w:szCs w:val="24"/>
              </w:rPr>
              <w:t>North Eastern Region – Isiolo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vertAlign w:val="superscript"/>
              </w:rPr>
              <w:t>nd</w:t>
            </w: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shd w:val="clear" w:color="auto" w:fill="FFFFFF"/>
              </w:rPr>
              <w:t> Floor, BarsalingaTowers</w:t>
            </w:r>
          </w:p>
        </w:tc>
      </w:tr>
    </w:tbl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b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b/>
          <w:color w:val="000000" w:themeColor="text1"/>
          <w:sz w:val="24"/>
          <w:szCs w:val="24"/>
        </w:rPr>
        <w:t>Contact Information</w:t>
      </w: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72"/>
        <w:gridCol w:w="2186"/>
        <w:gridCol w:w="615"/>
        <w:gridCol w:w="2065"/>
        <w:gridCol w:w="2196"/>
        <w:gridCol w:w="1605"/>
      </w:tblGrid>
      <w:tr w:rsidR="007D0F29" w:rsidRPr="0077128F" w:rsidTr="00436814">
        <w:trPr>
          <w:trHeight w:val="458"/>
        </w:trPr>
        <w:tc>
          <w:tcPr>
            <w:tcW w:w="3158" w:type="dxa"/>
            <w:gridSpan w:val="2"/>
            <w:shd w:val="clear" w:color="auto" w:fill="D9D9D9" w:themeFill="background1" w:themeFillShade="D9"/>
            <w:vAlign w:val="center"/>
          </w:tcPr>
          <w:p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Name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</w:tcPr>
          <w:p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Designation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Organization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Date</w:t>
            </w:r>
          </w:p>
        </w:tc>
      </w:tr>
      <w:tr w:rsidR="007D0F29" w:rsidRPr="0077128F" w:rsidTr="00436814">
        <w:trPr>
          <w:trHeight w:val="728"/>
        </w:trPr>
        <w:tc>
          <w:tcPr>
            <w:tcW w:w="3158" w:type="dxa"/>
            <w:gridSpan w:val="2"/>
            <w:shd w:val="clear" w:color="auto" w:fill="auto"/>
            <w:vAlign w:val="center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7D0F29" w:rsidRPr="0077128F" w:rsidRDefault="007D0F29" w:rsidP="005C0F3F">
            <w:pPr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7D0F29" w:rsidRPr="0077128F" w:rsidTr="00436814">
        <w:trPr>
          <w:trHeight w:val="728"/>
        </w:trPr>
        <w:tc>
          <w:tcPr>
            <w:tcW w:w="972" w:type="dxa"/>
            <w:shd w:val="clear" w:color="auto" w:fill="auto"/>
            <w:vAlign w:val="center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Email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Telephone Number</w:t>
            </w:r>
          </w:p>
        </w:tc>
        <w:tc>
          <w:tcPr>
            <w:tcW w:w="3801" w:type="dxa"/>
            <w:gridSpan w:val="2"/>
            <w:vAlign w:val="center"/>
          </w:tcPr>
          <w:p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Do you intend to attend the planned Public Participation Workshops on the regulations? </w:t>
      </w: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Yes/No? </w:t>
      </w: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For any Clarification regarding the regulations, please </w:t>
      </w:r>
    </w:p>
    <w:p w:rsidR="00436814" w:rsidRPr="0077128F" w:rsidRDefault="007D0F29" w:rsidP="00EB07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email</w:t>
      </w:r>
      <w:r w:rsidRPr="0077128F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Pr="0077128F">
          <w:rPr>
            <w:rStyle w:val="Hyperlink"/>
            <w:rFonts w:ascii="Palatino Linotype" w:hAnsi="Palatino Linotype" w:cstheme="minorHAnsi"/>
            <w:sz w:val="24"/>
            <w:szCs w:val="24"/>
          </w:rPr>
          <w:t>renewablenergy@epra.go.ke</w:t>
        </w:r>
      </w:hyperlink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or call </w:t>
      </w:r>
      <w:r w:rsidR="00436814" w:rsidRPr="0077128F">
        <w:rPr>
          <w:rFonts w:ascii="Palatino Linotype" w:hAnsi="Palatino Linotype"/>
          <w:sz w:val="24"/>
          <w:szCs w:val="24"/>
        </w:rPr>
        <w:t xml:space="preserve">: </w:t>
      </w:r>
      <w:r w:rsidR="00A652EE" w:rsidRPr="0077128F">
        <w:rPr>
          <w:rFonts w:ascii="Palatino Linotype" w:hAnsi="Palatino Linotype"/>
          <w:sz w:val="24"/>
          <w:szCs w:val="24"/>
        </w:rPr>
        <w:t>+254-709 336 000</w:t>
      </w:r>
    </w:p>
    <w:sectPr w:rsidR="00436814" w:rsidRPr="0077128F" w:rsidSect="004368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23" w:rsidRDefault="00324523" w:rsidP="007D0F29">
      <w:pPr>
        <w:spacing w:after="0" w:line="240" w:lineRule="auto"/>
      </w:pPr>
      <w:r>
        <w:separator/>
      </w:r>
    </w:p>
  </w:endnote>
  <w:endnote w:type="continuationSeparator" w:id="0">
    <w:p w:rsidR="00324523" w:rsidRDefault="00324523" w:rsidP="007D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5927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0609" w:rsidRDefault="00DC06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6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6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609" w:rsidRDefault="00DC0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23" w:rsidRDefault="00324523" w:rsidP="007D0F29">
      <w:pPr>
        <w:spacing w:after="0" w:line="240" w:lineRule="auto"/>
      </w:pPr>
      <w:r>
        <w:separator/>
      </w:r>
    </w:p>
  </w:footnote>
  <w:footnote w:type="continuationSeparator" w:id="0">
    <w:p w:rsidR="00324523" w:rsidRDefault="00324523" w:rsidP="007D0F29">
      <w:pPr>
        <w:spacing w:after="0" w:line="240" w:lineRule="auto"/>
      </w:pPr>
      <w:r>
        <w:continuationSeparator/>
      </w:r>
    </w:p>
  </w:footnote>
  <w:footnote w:id="1">
    <w:p w:rsidR="007D2AF2" w:rsidRPr="0003672E" w:rsidRDefault="007D2AF2" w:rsidP="007D2AF2">
      <w:pPr>
        <w:pStyle w:val="FootnoteText"/>
        <w:rPr>
          <w:rFonts w:ascii="Palatino Linotype" w:hAnsi="Palatino Linotype"/>
        </w:rPr>
      </w:pPr>
      <w:r w:rsidRPr="0003672E">
        <w:rPr>
          <w:rStyle w:val="FootnoteReference"/>
          <w:rFonts w:ascii="Palatino Linotype" w:hAnsi="Palatino Linotype"/>
        </w:rPr>
        <w:footnoteRef/>
      </w:r>
      <w:r w:rsidRPr="0003672E">
        <w:rPr>
          <w:rFonts w:ascii="Palatino Linotype" w:hAnsi="Palatino Linotype"/>
        </w:rPr>
        <w:t xml:space="preserve"> Type of comment: ge = general te = technical ed = 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8E" w:rsidRPr="006A415A" w:rsidRDefault="00324523" w:rsidP="007D0F29">
    <w:pPr>
      <w:spacing w:before="240" w:after="200" w:line="240" w:lineRule="auto"/>
      <w:rPr>
        <w:rFonts w:ascii="Palatino Linotype" w:eastAsia="Arial Narrow" w:hAnsi="Palatino Linotype" w:cs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5651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29"/>
    <w:rsid w:val="000A7C82"/>
    <w:rsid w:val="00195014"/>
    <w:rsid w:val="001B77FE"/>
    <w:rsid w:val="001C1D0A"/>
    <w:rsid w:val="00242BBC"/>
    <w:rsid w:val="002902D4"/>
    <w:rsid w:val="002A3DED"/>
    <w:rsid w:val="002E66AA"/>
    <w:rsid w:val="00307DA2"/>
    <w:rsid w:val="0032268F"/>
    <w:rsid w:val="00324523"/>
    <w:rsid w:val="00436814"/>
    <w:rsid w:val="0044065D"/>
    <w:rsid w:val="004747D2"/>
    <w:rsid w:val="00543C0D"/>
    <w:rsid w:val="00563767"/>
    <w:rsid w:val="005D1447"/>
    <w:rsid w:val="00620174"/>
    <w:rsid w:val="006C47A7"/>
    <w:rsid w:val="006D1CAE"/>
    <w:rsid w:val="007073D6"/>
    <w:rsid w:val="0076398F"/>
    <w:rsid w:val="0077128F"/>
    <w:rsid w:val="00785B0D"/>
    <w:rsid w:val="007D0F29"/>
    <w:rsid w:val="007D2AF2"/>
    <w:rsid w:val="008159E2"/>
    <w:rsid w:val="00890271"/>
    <w:rsid w:val="009B5680"/>
    <w:rsid w:val="00A652EE"/>
    <w:rsid w:val="00A757F3"/>
    <w:rsid w:val="00AD1953"/>
    <w:rsid w:val="00B349E9"/>
    <w:rsid w:val="00BD54EE"/>
    <w:rsid w:val="00C801FA"/>
    <w:rsid w:val="00D11967"/>
    <w:rsid w:val="00DC0609"/>
    <w:rsid w:val="00E45A0F"/>
    <w:rsid w:val="00E8174E"/>
    <w:rsid w:val="00E9712D"/>
    <w:rsid w:val="00EB078B"/>
    <w:rsid w:val="00EF1896"/>
    <w:rsid w:val="00FB34E3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5CEE-FA98-4ED6-ADE2-1BDFFF3F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0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0F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F2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D0F29"/>
    <w:rPr>
      <w:rFonts w:eastAsiaTheme="minorEastAsia"/>
    </w:rPr>
  </w:style>
  <w:style w:type="table" w:styleId="TableGrid">
    <w:name w:val="Table Grid"/>
    <w:basedOn w:val="TableNormal"/>
    <w:uiPriority w:val="59"/>
    <w:rsid w:val="007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F2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0F2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D0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29"/>
  </w:style>
  <w:style w:type="paragraph" w:styleId="FootnoteText">
    <w:name w:val="footnote text"/>
    <w:basedOn w:val="Normal"/>
    <w:link w:val="FootnoteTextChar"/>
    <w:uiPriority w:val="99"/>
    <w:semiHidden/>
    <w:unhideWhenUsed/>
    <w:rsid w:val="007D2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wableenergy@epra.go.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ewablenergy@epr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1868</Characters>
  <Application>Microsoft Office Word</Application>
  <DocSecurity>0</DocSecurity>
  <Lines>116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Njoroge</dc:creator>
  <cp:keywords/>
  <dc:description/>
  <cp:lastModifiedBy>Arnold N. Musalia</cp:lastModifiedBy>
  <cp:revision>2</cp:revision>
  <dcterms:created xsi:type="dcterms:W3CDTF">2025-06-04T14:14:00Z</dcterms:created>
  <dcterms:modified xsi:type="dcterms:W3CDTF">2025-06-04T14:14:00Z</dcterms:modified>
</cp:coreProperties>
</file>